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67FF3">
      <w:pPr>
        <w:pStyle w:val="1"/>
      </w:pPr>
      <w:r>
        <w:fldChar w:fldCharType="begin"/>
      </w:r>
      <w:r>
        <w:instrText>HYPERLINK "http://internet.garant.ru/document?id=70666454&amp;sub=0"</w:instrText>
      </w:r>
      <w:r>
        <w:fldChar w:fldCharType="separate"/>
      </w:r>
      <w:r>
        <w:rPr>
          <w:rStyle w:val="a4"/>
          <w:b w:val="0"/>
          <w:bCs w:val="0"/>
        </w:rPr>
        <w:t>Письмо МЧС России от 4 октября 2012 г. N 19-16-967 "О рассмотрении обращения"</w:t>
      </w:r>
      <w:r>
        <w:fldChar w:fldCharType="end"/>
      </w:r>
    </w:p>
    <w:p w:rsidR="00000000" w:rsidRDefault="00567FF3">
      <w:pPr>
        <w:pStyle w:val="1"/>
      </w:pPr>
      <w:r>
        <w:t>Письмо МЧС России от 4 октября 2012 г. N 19-16-967</w:t>
      </w:r>
      <w:r>
        <w:br/>
        <w:t>"О рассмотрении обращения"</w:t>
      </w:r>
    </w:p>
    <w:p w:rsidR="00000000" w:rsidRDefault="00567FF3"/>
    <w:p w:rsidR="00000000" w:rsidRDefault="00567FF3">
      <w:r>
        <w:t>Департаментом надзорной деятельности МЧС России Ваше обращение рассмотрено и сообщается следующее.</w:t>
      </w:r>
    </w:p>
    <w:p w:rsidR="00000000" w:rsidRDefault="00567FF3">
      <w:bookmarkStart w:id="1" w:name="sub_1"/>
      <w:r>
        <w:t>1. К объектам с ночным пребыванием людей относятся объекты с помещениями, в которых в ночное время возможно пребывание людей, за исключением жилых домов</w:t>
      </w:r>
      <w:r>
        <w:t xml:space="preserve"> и объектов с персоналом, осуществляющим охрану.</w:t>
      </w:r>
    </w:p>
    <w:p w:rsidR="00000000" w:rsidRDefault="00567FF3">
      <w:bookmarkStart w:id="2" w:name="sub_2"/>
      <w:bookmarkEnd w:id="1"/>
      <w:r>
        <w:t xml:space="preserve">2. Количество рабочих мест на объекте определяется в соответствии с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составе разделов проектной документации и треб</w:t>
      </w:r>
      <w:r>
        <w:t xml:space="preserve">ованиях к их содержанию, утвержденным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февраля 2008 г. N 87.</w:t>
      </w:r>
    </w:p>
    <w:p w:rsidR="00000000" w:rsidRDefault="00567FF3">
      <w:bookmarkStart w:id="3" w:name="sub_3"/>
      <w:bookmarkEnd w:id="2"/>
      <w:r>
        <w:t xml:space="preserve">3. Согласно </w:t>
      </w:r>
      <w:hyperlink r:id="rId10" w:history="1">
        <w:r>
          <w:rPr>
            <w:rStyle w:val="a4"/>
          </w:rPr>
          <w:t>пункту 5</w:t>
        </w:r>
      </w:hyperlink>
      <w:r>
        <w:t xml:space="preserve"> Правил противопожарного режима в Российской Федерации,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апреля 2012 г. N 390 (далее - Правила</w:t>
      </w:r>
      <w:r>
        <w:t>), объекты, на которых одновременно находится 50 и более человек относятся к объектам с массовым пребыванием людей.</w:t>
      </w:r>
    </w:p>
    <w:p w:rsidR="00000000" w:rsidRDefault="00567FF3">
      <w:bookmarkStart w:id="4" w:name="sub_4"/>
      <w:bookmarkEnd w:id="3"/>
      <w:r>
        <w:t xml:space="preserve">4. Под листовым металлом в </w:t>
      </w:r>
      <w:hyperlink r:id="rId12" w:history="1">
        <w:r>
          <w:rPr>
            <w:rStyle w:val="a4"/>
          </w:rPr>
          <w:t>Правилах</w:t>
        </w:r>
      </w:hyperlink>
      <w:r>
        <w:t xml:space="preserve"> понимается металлическое</w:t>
      </w:r>
      <w:r>
        <w:t xml:space="preserve"> изделие, представляющее собой тонкий лист из металла с обрезной или необрезной кромкой, поставляемый в рулонах или в виде листов. При этом к основным категориям металлических листов относятся: горячекатаный, холоднокатаный, просечно-вытяжной, оцинкованный</w:t>
      </w:r>
      <w:r>
        <w:t xml:space="preserve"> листы.</w:t>
      </w:r>
    </w:p>
    <w:p w:rsidR="00000000" w:rsidRDefault="00567FF3">
      <w:bookmarkStart w:id="5" w:name="sub_5"/>
      <w:bookmarkEnd w:id="4"/>
      <w:r>
        <w:t>5. К сгораемым перекрытиям относятся перекрытия, в конструкции которых используются материалы, относящиеся к группе горючести Г1-Г4.</w:t>
      </w:r>
    </w:p>
    <w:p w:rsidR="00000000" w:rsidRDefault="00567FF3">
      <w:bookmarkStart w:id="6" w:name="sub_6"/>
      <w:bookmarkEnd w:id="5"/>
      <w:r>
        <w:t xml:space="preserve">6. Вывод сигнала о пожаре на пульт государственной противопожарной службы является требованием </w:t>
      </w:r>
      <w:r>
        <w:t>рекомендательного характера. Прямая телефонная связь с ближайшим подразделением пожарной охраны может предусматриваться посредством снятия микротелефона без набора на телефонный аппарат, номер которого заранее сообщается абонентом на коммутационной станции</w:t>
      </w:r>
      <w:r>
        <w:t xml:space="preserve">, т.е. в так называемом режиме "прямой связи". При этом сообщается, что в настоящее время в </w:t>
      </w:r>
      <w:hyperlink r:id="rId13" w:history="1">
        <w:r>
          <w:rPr>
            <w:rStyle w:val="a4"/>
          </w:rPr>
          <w:t>Правилах</w:t>
        </w:r>
      </w:hyperlink>
      <w:r>
        <w:t xml:space="preserve"> "прямая телефонная связь с подразделениями пожарной охраны" заменена на "телефонная с</w:t>
      </w:r>
      <w:r>
        <w:t>вязь с подразделениями пожарной охраны". Каналы GSM/GPRS сотовой связи, это один из видов мобильной радиосвязи в основе которого лежит сотовая сеть и использование их для передачи тревожных извещений (как альтернатива телефонной связи) не допускается.</w:t>
      </w:r>
    </w:p>
    <w:p w:rsidR="00000000" w:rsidRDefault="00567FF3">
      <w:bookmarkStart w:id="7" w:name="sub_7"/>
      <w:bookmarkEnd w:id="6"/>
      <w:r>
        <w:t xml:space="preserve">7. В соответствии с </w:t>
      </w:r>
      <w:hyperlink r:id="rId14" w:history="1">
        <w:r>
          <w:rPr>
            <w:rStyle w:val="a4"/>
          </w:rPr>
          <w:t>пунктом 12</w:t>
        </w:r>
      </w:hyperlink>
      <w:r>
        <w:t xml:space="preserve"> Правил, на объекте с массовым пребыванием людей руководитель организации обеспечивает наличие инструкции о действиях персонала по эвакуации людей при</w:t>
      </w:r>
      <w:r>
        <w:t xml:space="preserve"> пожаре, а также проведение не реже 1 раза в полугодие практических тренировок лиц, осуществляющих свою деятельность на объекте (без исключений).</w:t>
      </w:r>
    </w:p>
    <w:p w:rsidR="00000000" w:rsidRDefault="00567FF3">
      <w:bookmarkStart w:id="8" w:name="sub_8"/>
      <w:bookmarkEnd w:id="7"/>
      <w:r>
        <w:t xml:space="preserve">8. Требованиями </w:t>
      </w:r>
      <w:hyperlink r:id="rId15" w:history="1">
        <w:r>
          <w:rPr>
            <w:rStyle w:val="a4"/>
          </w:rPr>
          <w:t>пункта 16</w:t>
        </w:r>
      </w:hyperlink>
      <w:r>
        <w:t xml:space="preserve"> Прав</w:t>
      </w:r>
      <w:r>
        <w:t>ил установлено, что территории поселений и городских округов, садоводческих, огороднических и дачных некоммерческих объединений граждан должны обеспечиваться звуковой сигнализацией для оповещения людей при пожаре. При этом типы оповещателей, размещение и к</w:t>
      </w:r>
      <w:r>
        <w:t>оличество нормативными правовыми документами не регламентировано.</w:t>
      </w:r>
    </w:p>
    <w:p w:rsidR="00000000" w:rsidRDefault="00567FF3">
      <w:bookmarkStart w:id="9" w:name="sub_9"/>
      <w:bookmarkEnd w:id="8"/>
      <w:r>
        <w:t>9. Легковоспламеняющиеся и горючие жидкости - это жидкости, способные самостоятельно гореть после удаления источника зажигания и имеющих температуру вспышки не выше 61°С и выше 61°</w:t>
      </w:r>
      <w:r>
        <w:t>С соответственно. При заправке баллонов горючими газами (метан, бутан, пропан, ацетилен, водород и т.д.) хранение их не допускается на территориях, прилегающих к объектам, в том числе к жилым домам, а также к объектам садоводческих, огороднических и дачных</w:t>
      </w:r>
      <w:r>
        <w:t xml:space="preserve"> некоммерческих объединений граждан.</w:t>
      </w:r>
    </w:p>
    <w:p w:rsidR="00000000" w:rsidRDefault="00567FF3">
      <w:bookmarkStart w:id="10" w:name="sub_10"/>
      <w:bookmarkEnd w:id="9"/>
      <w:r>
        <w:t xml:space="preserve">10. </w:t>
      </w:r>
      <w:hyperlink r:id="rId16" w:history="1">
        <w:r>
          <w:rPr>
            <w:rStyle w:val="a4"/>
          </w:rPr>
          <w:t>Пунктом 1</w:t>
        </w:r>
      </w:hyperlink>
      <w:r>
        <w:t xml:space="preserve"> Правил устанавливаются правила поведения людей, порядок организации </w:t>
      </w:r>
      <w:r>
        <w:lastRenderedPageBreak/>
        <w:t>производства и (или) содержания территорий, зданий, соор</w:t>
      </w:r>
      <w:r>
        <w:t>ужений, помещений организаций и других объектов в целях обеспечения пожарной безопасности. При этом, требования изложенные в Правилах, являются обязательными для исполнения.</w:t>
      </w:r>
    </w:p>
    <w:p w:rsidR="00000000" w:rsidRDefault="00567FF3">
      <w:bookmarkStart w:id="11" w:name="sub_11"/>
      <w:bookmarkEnd w:id="10"/>
      <w:r>
        <w:t xml:space="preserve">11. К противопожарным преградам, согласно </w:t>
      </w:r>
      <w:hyperlink r:id="rId17" w:history="1">
        <w:r>
          <w:rPr>
            <w:rStyle w:val="a4"/>
          </w:rPr>
          <w:t>части 35 статьи 2</w:t>
        </w:r>
      </w:hyperlink>
      <w:r>
        <w:t xml:space="preserve"> Федерального закона от 22 июля 2008 г. N 123-ФЗ "Технический регламент о требованиях пожарной безопасности", относятся строительные конструкции с нормированными пределом огнестойкости и классом кон</w:t>
      </w:r>
      <w:r>
        <w:t>структивной пожарной опасности, объемные элементы здания или иные инженерные решения, предназначенные для предотвращения распространения пожара из одной части здания, сооружения, в другую или между зданиями, сооружениями, зелеными насаждениями.</w:t>
      </w:r>
    </w:p>
    <w:p w:rsidR="00000000" w:rsidRDefault="00567FF3">
      <w:bookmarkStart w:id="12" w:name="sub_12"/>
      <w:bookmarkEnd w:id="11"/>
      <w:r>
        <w:t xml:space="preserve">12. </w:t>
      </w:r>
      <w:hyperlink r:id="rId18" w:history="1">
        <w:r>
          <w:rPr>
            <w:rStyle w:val="a4"/>
          </w:rPr>
          <w:t>Пунктом 33</w:t>
        </w:r>
      </w:hyperlink>
      <w:r>
        <w:t xml:space="preserve"> Правил установлено, что при эксплуатации эвакуационных путей и выходов руководитель организации обязан обеспечивать соблюдение проектных решений и требований нормативных </w:t>
      </w:r>
      <w:r>
        <w:t>документов по пожарной безопасности, в соответствии с требованиями которых они были запроектированы и построены (СНиП, НПБ, ГОСТ и т.д.).</w:t>
      </w:r>
    </w:p>
    <w:bookmarkEnd w:id="12"/>
    <w:p w:rsidR="00000000" w:rsidRDefault="00567FF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7FF3">
            <w:pPr>
              <w:pStyle w:val="a6"/>
            </w:pPr>
            <w:r>
              <w:t>Заместитель главного государственного</w:t>
            </w:r>
            <w:r>
              <w:br/>
              <w:t>инспектора Российской Федерации</w:t>
            </w:r>
            <w:r>
              <w:br/>
              <w:t>по пожарному надзору -</w:t>
            </w:r>
            <w:r>
              <w:br/>
              <w:t>заместитель директ</w:t>
            </w:r>
            <w:r>
              <w:t>ора Департамента</w:t>
            </w:r>
            <w:r>
              <w:br/>
              <w:t>надзорной деятельности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7FF3">
            <w:pPr>
              <w:pStyle w:val="a5"/>
              <w:jc w:val="right"/>
            </w:pPr>
            <w:r>
              <w:t>С.П. Воронов</w:t>
            </w:r>
          </w:p>
        </w:tc>
      </w:tr>
    </w:tbl>
    <w:p w:rsidR="00567FF3" w:rsidRDefault="00567FF3"/>
    <w:sectPr w:rsidR="00567FF3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F3" w:rsidRDefault="00567FF3">
      <w:r>
        <w:separator/>
      </w:r>
    </w:p>
  </w:endnote>
  <w:endnote w:type="continuationSeparator" w:id="0">
    <w:p w:rsidR="00567FF3" w:rsidRDefault="005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67F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B58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589D">
            <w:rPr>
              <w:rFonts w:ascii="Times New Roman" w:hAnsi="Times New Roman" w:cs="Times New Roman"/>
              <w:noProof/>
              <w:sz w:val="20"/>
              <w:szCs w:val="20"/>
            </w:rPr>
            <w:t>30.10.2018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7F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7F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58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589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5B58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589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F3" w:rsidRDefault="00567FF3">
      <w:r>
        <w:separator/>
      </w:r>
    </w:p>
  </w:footnote>
  <w:footnote w:type="continuationSeparator" w:id="0">
    <w:p w:rsidR="00567FF3" w:rsidRDefault="0056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7F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МЧС России от 4 октября 2012 г. N 19-16-967 "О рассмотрении обращения"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9D"/>
    <w:rsid w:val="00567FF3"/>
    <w:rsid w:val="005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58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58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8997&amp;sub=1000" TargetMode="External"/><Relationship Id="rId13" Type="http://schemas.openxmlformats.org/officeDocument/2006/relationships/hyperlink" Target="http://internet.garant.ru/document?id=70070244&amp;sub=1000" TargetMode="External"/><Relationship Id="rId18" Type="http://schemas.openxmlformats.org/officeDocument/2006/relationships/hyperlink" Target="http://internet.garant.ru/document?id=70070244&amp;sub=103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070244&amp;sub=1000" TargetMode="External"/><Relationship Id="rId17" Type="http://schemas.openxmlformats.org/officeDocument/2006/relationships/hyperlink" Target="http://internet.garant.ru/document?id=12061584&amp;sub=23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070244&amp;sub=100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07024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070244&amp;sub=1016" TargetMode="External"/><Relationship Id="rId10" Type="http://schemas.openxmlformats.org/officeDocument/2006/relationships/hyperlink" Target="http://internet.garant.ru/document?id=70070244&amp;sub=100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58997&amp;sub=0" TargetMode="External"/><Relationship Id="rId14" Type="http://schemas.openxmlformats.org/officeDocument/2006/relationships/hyperlink" Target="http://internet.garant.ru/document?id=70070244&amp;sub=10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2018-10-30T10:39:00Z</dcterms:created>
  <dcterms:modified xsi:type="dcterms:W3CDTF">2018-10-30T10:39:00Z</dcterms:modified>
</cp:coreProperties>
</file>