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15" w:rsidRDefault="00081615" w:rsidP="00081615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1615">
        <w:rPr>
          <w:rFonts w:ascii="Times New Roman" w:hAnsi="Times New Roman"/>
          <w:b/>
          <w:sz w:val="32"/>
          <w:szCs w:val="32"/>
          <w:lang w:eastAsia="ru-RU"/>
        </w:rPr>
        <w:t>Декларация пожарной безопасности</w:t>
      </w:r>
      <w:r w:rsidR="003B3AF7">
        <w:rPr>
          <w:rFonts w:ascii="Times New Roman" w:hAnsi="Times New Roman"/>
          <w:b/>
          <w:sz w:val="32"/>
          <w:szCs w:val="32"/>
          <w:lang w:eastAsia="ru-RU"/>
        </w:rPr>
        <w:t xml:space="preserve"> 2019 год</w:t>
      </w:r>
    </w:p>
    <w:p w:rsidR="00081615" w:rsidRDefault="00081615" w:rsidP="00081615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3FEA" w:rsidRDefault="00C13FEA" w:rsidP="000816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 -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форма оценки соответствия, содержащая информацию о мерах пожарной безопасности, направленных на обеспечение на объекте защиты нормативного значения пожарного риска.</w:t>
      </w:r>
    </w:p>
    <w:p w:rsidR="00E909DF" w:rsidRPr="00081615" w:rsidRDefault="00E909DF" w:rsidP="000816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2F7" w:rsidRPr="00081615" w:rsidRDefault="002D22F7" w:rsidP="00081615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1615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 разрабатывается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64 Федерального закона от 22 июля 2008 г. N 123-ФЗ "Технический регламент о требованиях п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ожарной безопасности",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D02" w:rsidRPr="0008161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МЧС России от 24.02.2009 N 91 "Об утверждении формы и порядка регистрации декларации пожарной безопасности" (Зарегистрировано в Минюсте России 23.03.2009 N 13577), в соответствии со </w:t>
      </w:r>
      <w:r w:rsidRPr="00081615">
        <w:rPr>
          <w:rFonts w:ascii="Times New Roman" w:hAnsi="Times New Roman"/>
          <w:sz w:val="28"/>
          <w:szCs w:val="28"/>
          <w:lang w:eastAsia="ru-RU"/>
        </w:rPr>
        <w:t>статьей 49 Градостроительного кодекса Российской Федерации и</w:t>
      </w:r>
      <w:proofErr w:type="gramEnd"/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составляется в отношении:</w:t>
      </w:r>
    </w:p>
    <w:p w:rsidR="002D22F7" w:rsidRPr="00081615" w:rsidRDefault="002D22F7" w:rsidP="0008161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Объектов капитального строительства,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для которых законодательством Российской Федерации о градостроительной деятельности предусмотрено проведение государственной экспертизы, 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>за исключением: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тдельно стоящих жилых домов</w:t>
      </w:r>
      <w:r w:rsidR="00EC7BAC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высотой не более трех этажей, предназначенных для проживания одной семьи (объекты индивидуального жилищного строительства);</w:t>
      </w:r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илых домов высотой не более трех этажей, состоящих из нескольких блоков, количество которых не превышает десяти,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ногоквартирных домов высотой не более трех этажей,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  <w:proofErr w:type="gramEnd"/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тдельно стоящих объектов капитального строительства высотой не более двух </w:t>
      </w:r>
      <w:proofErr w:type="gramStart"/>
      <w:r w:rsidR="002D22F7" w:rsidRPr="00081615">
        <w:rPr>
          <w:rFonts w:ascii="Times New Roman" w:hAnsi="Times New Roman"/>
          <w:sz w:val="28"/>
          <w:szCs w:val="28"/>
          <w:lang w:eastAsia="ru-RU"/>
        </w:rPr>
        <w:t>этажей</w:t>
      </w:r>
      <w:proofErr w:type="gramEnd"/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являются особо опасными, технически сложными или уникальными объектами;</w:t>
      </w:r>
    </w:p>
    <w:p w:rsidR="002D22F7" w:rsidRPr="00E909DF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тдельно стоящих объектов капитального строительства высотой не более двух этажей,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lastRenderedPageBreak/>
        <w:t>объектов, которые являются</w:t>
      </w:r>
      <w:proofErr w:type="gramEnd"/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 особо </w:t>
      </w:r>
      <w:r w:rsidR="002D22F7" w:rsidRPr="00E909DF">
        <w:rPr>
          <w:rFonts w:ascii="Times New Roman" w:hAnsi="Times New Roman"/>
          <w:sz w:val="28"/>
          <w:szCs w:val="28"/>
          <w:lang w:eastAsia="ru-RU"/>
        </w:rPr>
        <w:t>опасными, технически сложными или уникальными объектами.</w:t>
      </w:r>
    </w:p>
    <w:p w:rsidR="00E909DF" w:rsidRPr="00E909DF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Зданий детских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дошколь</w:t>
      </w:r>
      <w:r w:rsidR="00E909DF" w:rsidRPr="00E909DF">
        <w:rPr>
          <w:rFonts w:ascii="Times New Roman" w:hAnsi="Times New Roman"/>
          <w:sz w:val="28"/>
          <w:szCs w:val="28"/>
          <w:lang w:eastAsia="ru-RU"/>
        </w:rPr>
        <w:t>ных образовательных учреждений.</w:t>
      </w:r>
    </w:p>
    <w:p w:rsidR="00E909DF" w:rsidRPr="00E909DF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Специализированных домов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престарелых и инвалидов (не </w:t>
      </w:r>
      <w:proofErr w:type="gramStart"/>
      <w:r w:rsidRPr="00E909DF">
        <w:rPr>
          <w:rFonts w:ascii="Times New Roman" w:hAnsi="Times New Roman"/>
          <w:sz w:val="28"/>
          <w:szCs w:val="28"/>
          <w:lang w:eastAsia="ru-RU"/>
        </w:rPr>
        <w:t>квартирные</w:t>
      </w:r>
      <w:proofErr w:type="gramEnd"/>
      <w:r w:rsidRPr="00E909DF">
        <w:rPr>
          <w:rFonts w:ascii="Times New Roman" w:hAnsi="Times New Roman"/>
          <w:sz w:val="28"/>
          <w:szCs w:val="28"/>
          <w:lang w:eastAsia="ru-RU"/>
        </w:rPr>
        <w:t>).</w:t>
      </w:r>
    </w:p>
    <w:p w:rsidR="00E909DF" w:rsidRPr="00E909DF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Больниц.</w:t>
      </w:r>
    </w:p>
    <w:p w:rsidR="002D22F7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Спальных корпусов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 интернатного типа и детских учреждений.</w:t>
      </w:r>
    </w:p>
    <w:p w:rsidR="00E909DF" w:rsidRPr="00E909DF" w:rsidRDefault="00E909DF" w:rsidP="00E909DF">
      <w:pPr>
        <w:pStyle w:val="a9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47F" w:rsidRPr="00E909DF" w:rsidRDefault="0066447F" w:rsidP="00E909DF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В соответствии с Градостроительным кодексом Российской Федерации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447F" w:rsidRPr="00081615" w:rsidRDefault="0066447F" w:rsidP="00081615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К особо опасным и технически сложным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>объектам относятся: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инии электропередачи и иные объекты электросетевого хозяйства напряжением 330 киловольт и более;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космической инфраструктуры;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авиационной инфраструктуры;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инфраструктуры железнодорожного транспорта общего пользования;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етрополитены;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епловые электростанции мощностью 150 мегаватт и выше;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одвесные канатные дороги;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-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-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 xml:space="preserve">- опасные производственные объекты, на которых ведутся горные работы (за исключением добычи общераспространенных полезных ископаемых и </w:t>
      </w:r>
      <w:r w:rsidRPr="00081615">
        <w:rPr>
          <w:rFonts w:ascii="Times New Roman" w:hAnsi="Times New Roman"/>
          <w:sz w:val="28"/>
          <w:szCs w:val="28"/>
          <w:lang w:eastAsia="ru-RU"/>
        </w:rPr>
        <w:lastRenderedPageBreak/>
        <w:t>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47F" w:rsidRPr="00081615" w:rsidRDefault="0066447F" w:rsidP="00081615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К уникальным объектам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>относятся объекты</w:t>
      </w:r>
      <w:r w:rsidR="00E909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капитального строительства (за исключением </w:t>
      </w:r>
      <w:r w:rsidR="00C67C15" w:rsidRPr="00081615">
        <w:rPr>
          <w:rFonts w:ascii="Times New Roman" w:hAnsi="Times New Roman"/>
          <w:sz w:val="28"/>
          <w:szCs w:val="28"/>
          <w:lang w:eastAsia="ru-RU"/>
        </w:rPr>
        <w:t>вышеуказанных объектов</w:t>
      </w:r>
      <w:r w:rsidRPr="00081615">
        <w:rPr>
          <w:rFonts w:ascii="Times New Roman" w:hAnsi="Times New Roman"/>
          <w:sz w:val="28"/>
          <w:szCs w:val="28"/>
          <w:lang w:eastAsia="ru-RU"/>
        </w:rPr>
        <w:t>), в проектной документации которых предусмотрена хотя бы одна из следующих характеристик:</w:t>
      </w:r>
    </w:p>
    <w:p w:rsidR="00C67C15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ысота более чем 100 метров;</w:t>
      </w:r>
    </w:p>
    <w:p w:rsidR="00C67C15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ролеты более чем 100 метров;</w:t>
      </w:r>
    </w:p>
    <w:p w:rsidR="00C67C15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аличие консоли более чем 20 метров;</w:t>
      </w:r>
    </w:p>
    <w:p w:rsidR="0066447F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аглубление подземной части (полностью или частично) ниже планировочной отметки земли бол</w:t>
      </w:r>
      <w:r w:rsidR="00C67C15" w:rsidRPr="00081615">
        <w:rPr>
          <w:rFonts w:ascii="Times New Roman" w:hAnsi="Times New Roman"/>
          <w:sz w:val="28"/>
          <w:szCs w:val="28"/>
          <w:lang w:eastAsia="ru-RU"/>
        </w:rPr>
        <w:t>ее чем на 15 метров.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C45" w:rsidRPr="00081615" w:rsidRDefault="00C06219" w:rsidP="00E909DF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Санитарно-защитная зона</w:t>
      </w:r>
      <w:r w:rsidR="00C93C45" w:rsidRPr="00E909DF">
        <w:rPr>
          <w:rFonts w:ascii="Times New Roman" w:hAnsi="Times New Roman"/>
          <w:b/>
          <w:sz w:val="28"/>
          <w:szCs w:val="28"/>
          <w:lang w:eastAsia="ru-RU"/>
        </w:rPr>
        <w:t xml:space="preserve"> (СЗЗ)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ных гигиеническими нормативами.</w:t>
      </w:r>
    </w:p>
    <w:p w:rsidR="00C93C45" w:rsidRPr="003357C8" w:rsidRDefault="00C06219" w:rsidP="00081615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Ориентир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 xml:space="preserve">овочный размер СЗЗ определяется нормативными документами </w:t>
      </w:r>
      <w:r w:rsidRPr="00081615">
        <w:rPr>
          <w:rFonts w:ascii="Times New Roman" w:hAnsi="Times New Roman"/>
          <w:sz w:val="28"/>
          <w:szCs w:val="28"/>
          <w:lang w:eastAsia="ru-RU"/>
        </w:rPr>
        <w:t>на время проектирования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 xml:space="preserve"> и ввода в эксплуатацию объекта,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 зависимости от класса опасности предприятия (всего пят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ь классов опасности, с I по V):</w:t>
      </w:r>
    </w:p>
    <w:p w:rsidR="001C2CEC" w:rsidRPr="00E909DF" w:rsidRDefault="008F0314" w:rsidP="00081615">
      <w:pPr>
        <w:pStyle w:val="a9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Класс опасности предприятия</w:t>
      </w:r>
      <w:r w:rsidRPr="00E909DF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первого класса I — 1000 м;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второго класса II— 500 м;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третьего класса III— 300 м;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четвертого класса IV— 100 м;</w:t>
      </w:r>
    </w:p>
    <w:p w:rsidR="00C06219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пятого класса V— 50 м.</w:t>
      </w:r>
    </w:p>
    <w:p w:rsidR="00C06219" w:rsidRPr="00081615" w:rsidRDefault="00C06219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219" w:rsidRPr="00081615" w:rsidRDefault="00C06219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В санитарно-защитной зоне не допускается размещать: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</w:r>
      <w:proofErr w:type="gramEnd"/>
      <w:r w:rsidRPr="00081615">
        <w:rPr>
          <w:rFonts w:ascii="Times New Roman" w:hAnsi="Times New Roman"/>
          <w:sz w:val="28"/>
          <w:szCs w:val="28"/>
          <w:lang w:eastAsia="ru-RU"/>
        </w:rPr>
        <w:t xml:space="preserve">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66447F" w:rsidRPr="00081615" w:rsidRDefault="00C06219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Допускается размещать в границах санитарно-защитной зоны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</w:t>
      </w:r>
      <w:r w:rsidRPr="000816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научно-исследовательские лабора</w:t>
      </w:r>
      <w:r w:rsidRPr="00081615">
        <w:rPr>
          <w:rFonts w:ascii="Times New Roman" w:hAnsi="Times New Roman"/>
          <w:sz w:val="28"/>
          <w:szCs w:val="28"/>
          <w:lang w:eastAsia="ru-RU"/>
        </w:rPr>
        <w:t>тории, поликлиники, спортив­но-оздоровительные сооружения закрытого типа, бани, прачечные, объекты</w:t>
      </w:r>
      <w:proofErr w:type="gramEnd"/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1615">
        <w:rPr>
          <w:rFonts w:ascii="Times New Roman" w:hAnsi="Times New Roman"/>
          <w:sz w:val="28"/>
          <w:szCs w:val="28"/>
          <w:lang w:eastAsia="ru-RU"/>
        </w:rPr>
        <w:t xml:space="preserve">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081615">
        <w:rPr>
          <w:rFonts w:ascii="Times New Roman" w:hAnsi="Times New Roman"/>
          <w:sz w:val="28"/>
          <w:szCs w:val="28"/>
          <w:lang w:eastAsia="ru-RU"/>
        </w:rPr>
        <w:t>нефте</w:t>
      </w:r>
      <w:proofErr w:type="spellEnd"/>
      <w:r w:rsidRPr="00081615">
        <w:rPr>
          <w:rFonts w:ascii="Times New Roman" w:hAnsi="Times New Roman"/>
          <w:sz w:val="28"/>
          <w:szCs w:val="28"/>
          <w:lang w:eastAsia="ru-RU"/>
        </w:rPr>
        <w:t>- и газопроводы, артезианские скважины для технического во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доснабжения, водоохлаждающие со</w:t>
      </w:r>
      <w:r w:rsidRPr="00081615">
        <w:rPr>
          <w:rFonts w:ascii="Times New Roman" w:hAnsi="Times New Roman"/>
          <w:sz w:val="28"/>
          <w:szCs w:val="28"/>
          <w:lang w:eastAsia="ru-RU"/>
        </w:rPr>
        <w:t>оружения для подготовки техни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ческой воды, канализационные на</w:t>
      </w:r>
      <w:r w:rsidRPr="00081615">
        <w:rPr>
          <w:rFonts w:ascii="Times New Roman" w:hAnsi="Times New Roman"/>
          <w:sz w:val="28"/>
          <w:szCs w:val="28"/>
          <w:lang w:eastAsia="ru-RU"/>
        </w:rPr>
        <w:t>сосные станции, сооружения оборотного водоснабжения, автозаправочные станции, станции технического обслуживания автомобилей.</w:t>
      </w:r>
      <w:proofErr w:type="gramEnd"/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081" w:rsidRDefault="00C93C45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(далее - декларация) может составляться как в целом на объект защиты, так и на отдельные, входящие в его состав здания, сооружения, строения, к которым установлены т</w:t>
      </w:r>
      <w:r w:rsidR="00737EDC" w:rsidRPr="00081615">
        <w:rPr>
          <w:rFonts w:ascii="Times New Roman" w:hAnsi="Times New Roman"/>
          <w:sz w:val="28"/>
          <w:szCs w:val="28"/>
          <w:lang w:eastAsia="ru-RU"/>
        </w:rPr>
        <w:t>ребования пожарной безопасности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>.</w:t>
      </w:r>
    </w:p>
    <w:p w:rsidR="00081615" w:rsidRPr="00081615" w:rsidRDefault="00081615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При составлении декларации пожарной безопасности,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декларант, в декларации </w:t>
      </w:r>
      <w:r w:rsidRPr="007B3081">
        <w:rPr>
          <w:rFonts w:ascii="Times New Roman" w:hAnsi="Times New Roman"/>
          <w:sz w:val="28"/>
          <w:szCs w:val="28"/>
          <w:u w:val="single"/>
          <w:lang w:eastAsia="ru-RU"/>
        </w:rPr>
        <w:t>указывает только перечень статей (частей, пунктов) указанных документов,</w:t>
      </w:r>
      <w:r w:rsidR="007B3081">
        <w:rPr>
          <w:rFonts w:ascii="Times New Roman" w:hAnsi="Times New Roman"/>
          <w:sz w:val="28"/>
          <w:szCs w:val="28"/>
          <w:lang w:eastAsia="ru-RU"/>
        </w:rPr>
        <w:t xml:space="preserve"> требования которых </w:t>
      </w:r>
      <w:r w:rsidRPr="00081615">
        <w:rPr>
          <w:rFonts w:ascii="Times New Roman" w:hAnsi="Times New Roman"/>
          <w:sz w:val="28"/>
          <w:szCs w:val="28"/>
          <w:lang w:eastAsia="ru-RU"/>
        </w:rPr>
        <w:t>установлены для соответствующего объекта защиты.</w:t>
      </w:r>
    </w:p>
    <w:p w:rsidR="00737EDC" w:rsidRPr="00081615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разрабатывается и представляется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собственником объекта защиты или лицом, владеющим</w:t>
      </w:r>
      <w:r w:rsidR="008F0314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им на праве пожизненного наследуемого владения, хозяйственного ведения, оперативного управления либо на</w:t>
      </w:r>
      <w:r w:rsidR="008F0314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ином законном основании.</w:t>
      </w:r>
    </w:p>
    <w:p w:rsidR="007B3081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на проектируемый объект защиты составляется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застройщиком либо лицом,</w:t>
      </w:r>
      <w:r w:rsidR="00737EDC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осуществляющим подготовку проектной документации.</w:t>
      </w:r>
    </w:p>
    <w:p w:rsidR="007B3081" w:rsidRDefault="00737EDC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 представляются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 течение одного года со дня ввода объекта защиты в эксплуатацию. Для объектов защиты, эксплуатирующихся на день вступления в силу настоящего Федерального закона, декларация пожарной безопасности предоставляется не позднее одного года после дня его вступления в силу.</w:t>
      </w:r>
      <w:r w:rsidR="007B3081" w:rsidRPr="007B3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081" w:rsidRPr="00081615">
        <w:rPr>
          <w:rFonts w:ascii="Times New Roman" w:hAnsi="Times New Roman"/>
          <w:sz w:val="28"/>
          <w:szCs w:val="28"/>
          <w:lang w:eastAsia="ru-RU"/>
        </w:rPr>
        <w:t>Для проектируемых объектов защиты декларация представляется до ввода их в эксплуатацию.</w:t>
      </w:r>
    </w:p>
    <w:p w:rsidR="00554882" w:rsidRPr="00081615" w:rsidRDefault="00737EDC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Уточненные или разработанные вновь декларации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 представляются в случае изменения содержащихся в них сведений (смены собственника или иного лица, владеющего объектом защиты на законном основании,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изменения функционального назначения либо капитального ремонта, реконструкции или технического перевооружения объекта защиты, в случае изменения требований пожарной безопасности) в течение одного 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>года со дня изменения сведений.</w:t>
      </w:r>
      <w:proofErr w:type="gramEnd"/>
    </w:p>
    <w:p w:rsidR="007B3081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уточняется путем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внесения в нее изменений, которые прилагаются к декларации и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регистрируются в порядке, установлен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>ном для регистрации декларации.</w:t>
      </w:r>
    </w:p>
    <w:p w:rsidR="0066447F" w:rsidRPr="00081615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lastRenderedPageBreak/>
        <w:t>Декларант, разработавший декларацию,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несет ответственн</w:t>
      </w:r>
      <w:r w:rsidR="007B3081">
        <w:rPr>
          <w:rFonts w:ascii="Times New Roman" w:hAnsi="Times New Roman"/>
          <w:sz w:val="28"/>
          <w:szCs w:val="28"/>
          <w:lang w:eastAsia="ru-RU"/>
        </w:rPr>
        <w:t xml:space="preserve">ость за полноту и достоверность </w:t>
      </w:r>
      <w:r w:rsidRPr="00081615">
        <w:rPr>
          <w:rFonts w:ascii="Times New Roman" w:hAnsi="Times New Roman"/>
          <w:sz w:val="28"/>
          <w:szCs w:val="28"/>
          <w:lang w:eastAsia="ru-RU"/>
        </w:rPr>
        <w:t>содержащихся в ней сведений в соответствии с законодательством Российской Федерации.</w:t>
      </w:r>
    </w:p>
    <w:p w:rsidR="00985DD3" w:rsidRPr="00081615" w:rsidRDefault="00554882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составляется в соответствии с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установленной формой и представляется (направляется) декларантом на бумажном носителе в двух экземплярах или в электронном виде (по выбору декларанта) в орган ГПН МЧС России</w:t>
      </w:r>
      <w:r w:rsidR="00081615" w:rsidRPr="00081615">
        <w:rPr>
          <w:rFonts w:ascii="Times New Roman" w:hAnsi="Times New Roman"/>
          <w:sz w:val="28"/>
          <w:szCs w:val="28"/>
          <w:lang w:eastAsia="ru-RU"/>
        </w:rPr>
        <w:t>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или в орган ГПН регионального центра МЧС России, или в орган ГПН ГУ МЧС России по 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субъекту Российской Федерации</w:t>
      </w:r>
      <w:r w:rsidR="00081615" w:rsidRPr="00081615">
        <w:rPr>
          <w:rFonts w:ascii="Times New Roman" w:hAnsi="Times New Roman"/>
          <w:sz w:val="28"/>
          <w:szCs w:val="28"/>
          <w:lang w:eastAsia="ru-RU"/>
        </w:rPr>
        <w:t>,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 xml:space="preserve"> или в </w:t>
      </w:r>
      <w:r w:rsidRPr="00081615">
        <w:rPr>
          <w:rFonts w:ascii="Times New Roman" w:hAnsi="Times New Roman"/>
          <w:sz w:val="28"/>
          <w:szCs w:val="28"/>
          <w:lang w:eastAsia="ru-RU"/>
        </w:rPr>
        <w:t>территориальный орган ГПН ГУ МЧ</w:t>
      </w:r>
      <w:r w:rsidR="00081615" w:rsidRPr="00081615">
        <w:rPr>
          <w:rFonts w:ascii="Times New Roman" w:hAnsi="Times New Roman"/>
          <w:sz w:val="28"/>
          <w:szCs w:val="28"/>
          <w:lang w:eastAsia="ru-RU"/>
        </w:rPr>
        <w:t xml:space="preserve">С России по субъекту Российской 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 w:rsidR="00081615" w:rsidRPr="00081615">
        <w:rPr>
          <w:rFonts w:ascii="Times New Roman" w:hAnsi="Times New Roman"/>
          <w:sz w:val="28"/>
          <w:szCs w:val="28"/>
          <w:lang w:eastAsia="ru-RU"/>
        </w:rPr>
        <w:t>,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 xml:space="preserve"> или в </w:t>
      </w:r>
      <w:r w:rsidRPr="00081615">
        <w:rPr>
          <w:rFonts w:ascii="Times New Roman" w:hAnsi="Times New Roman"/>
          <w:sz w:val="28"/>
          <w:szCs w:val="28"/>
          <w:lang w:eastAsia="ru-RU"/>
        </w:rPr>
        <w:t>орган ГПН специального и воинского подразделения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.</w:t>
      </w:r>
    </w:p>
    <w:p w:rsidR="00985DD3" w:rsidRPr="00081615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Должностные лица органа МЧС России проверяют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безопасности.</w:t>
      </w:r>
    </w:p>
    <w:p w:rsidR="00985DD3" w:rsidRPr="00081615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Полнота и достоверность сведений,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содержащихся в декларации пожарной безопасности, проверяются должностными лицами органа МЧС России при проведении мероприятий по контролю.</w:t>
      </w:r>
    </w:p>
    <w:p w:rsidR="00985DD3" w:rsidRPr="00081615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При несоответствии заполнения декларации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установленной форме должностные лица органа МЧС России возвращают декларацию декларанту с письменным указанием мотивированных причин отказа в ее регистрации.</w:t>
      </w:r>
    </w:p>
    <w:p w:rsidR="00985DD3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В течение трех рабочих дней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 момента присвоения декларации регистрационного номера один ее экземпляр представляется (направляется) органом МЧС России декларанту непосредственно, либо по почте, либо с использованием сети Интернет. Второй экземпляр хранится в органе МЧС России.</w:t>
      </w:r>
    </w:p>
    <w:p w:rsidR="004E5538" w:rsidRDefault="004E5538" w:rsidP="004E553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538" w:rsidRDefault="004E5538" w:rsidP="004E553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0B" w:rsidRDefault="00C8560B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0B" w:rsidRDefault="00C8560B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0B" w:rsidRDefault="00C8560B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F7" w:rsidRDefault="003B3AF7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44"/>
          <w:szCs w:val="44"/>
          <w:u w:val="single"/>
          <w:lang w:eastAsia="ru-RU"/>
        </w:rPr>
      </w:pPr>
      <w:proofErr w:type="gramStart"/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Зарегистрирована:</w:t>
      </w: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proofErr w:type="gramEnd"/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:rsidR="003B3AF7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  надзорной деятельности </w:t>
      </w: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профилактической работы</w:t>
      </w: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>по г. Ростову-на-Дону УНДиПР</w:t>
      </w: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>ГУ МЧС России по Ростовской области</w:t>
      </w: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>______________ 20__ г.</w:t>
      </w:r>
    </w:p>
    <w:p w:rsidR="003B3AF7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________________________</w:t>
      </w:r>
      <w:proofErr w:type="gramEnd"/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3B3AF7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ПОЖАРНОЙ БЕЗОПАСНОСТИ</w:t>
      </w:r>
    </w:p>
    <w:p w:rsidR="003B3AF7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F7" w:rsidRPr="00683ADB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proofErr w:type="gramStart"/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(Образец декларации на </w:t>
      </w:r>
      <w:r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12.02.2019 г.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proofErr w:type="gramEnd"/>
    </w:p>
    <w:p w:rsidR="003B3AF7" w:rsidRPr="00683ADB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Внимательно читайте, все подстроки и все, что выделено желтым или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  <w:t>зеленым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цветом. В дальнейшем все, что выделено желтым или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  <w:t>зеленым</w:t>
      </w:r>
      <w:r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цветом стереть. Первые 9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нормативно - правовых актов оставляем всегда. Необходимость каждого СП необходимо смотреть в зависимости от класса функциональной пожарной опасности Вашего здания. Рекомендую все нижеуказанные СП оставлять как есть. Выписывать по отдельности каждый пункт СП, как это предусматривает раздел №3 не рекомендую, так как все Вы не укажете, а инспектор ГПН всегда сможет доказать в таком случае, что пожарная декларация содержит не в полном объеме требуемую информацию. В случаях необходимости, задавайте свои вопросы мне на сайте </w:t>
      </w:r>
      <w:hyperlink r:id="rId9" w:history="1">
        <w:r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val="en-US" w:eastAsia="ru-RU"/>
          </w:rPr>
          <w:t>www</w:t>
        </w:r>
        <w:r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eastAsia="ru-RU"/>
          </w:rPr>
          <w:t>.</w:t>
        </w:r>
        <w:r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val="en-US" w:eastAsia="ru-RU"/>
          </w:rPr>
          <w:t>gpnrostov</w:t>
        </w:r>
        <w:r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eastAsia="ru-RU"/>
          </w:rPr>
          <w:t>.</w:t>
        </w:r>
        <w:r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val="en-US" w:eastAsia="ru-RU"/>
          </w:rPr>
          <w:t>ru</w:t>
        </w:r>
      </w:hyperlink>
    </w:p>
    <w:p w:rsidR="003B3AF7" w:rsidRPr="00683ADB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Следите за изменениями и</w:t>
      </w:r>
      <w:r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/</w:t>
      </w:r>
      <w:r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или дополнениями данного файла, </w:t>
      </w:r>
      <w:r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в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которы</w:t>
      </w:r>
      <w:r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й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я вероятнее всего буду вносить по мере изменения требований к пожарной декларации. И не видитесь на предложения различных организаций, обещающих 100 процентов правильно заполнить пожарную декларацию за Вас, при этом предлагая свои услуги за сумасшедшее деньги. Потратьте 15-30 минут своего </w:t>
      </w:r>
      <w:proofErr w:type="gramStart"/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времени</w:t>
      </w:r>
      <w:proofErr w:type="gramEnd"/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и Вы сэкономите свой бюджет.)</w:t>
      </w:r>
    </w:p>
    <w:p w:rsidR="003B3AF7" w:rsidRPr="00683ADB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86"/>
        <w:gridCol w:w="358"/>
        <w:gridCol w:w="1559"/>
        <w:gridCol w:w="4218"/>
      </w:tblGrid>
      <w:tr w:rsidR="003B3AF7" w:rsidRPr="00AE1ACA" w:rsidTr="00CB108A">
        <w:trPr>
          <w:jc w:val="center"/>
        </w:trPr>
        <w:tc>
          <w:tcPr>
            <w:tcW w:w="2976" w:type="pct"/>
            <w:gridSpan w:val="3"/>
            <w:shd w:val="clear" w:color="auto" w:fill="auto"/>
          </w:tcPr>
          <w:p w:rsidR="003B3AF7" w:rsidRPr="005716A0" w:rsidRDefault="003B3AF7" w:rsidP="00CB108A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Настоящая декларация составлена в отношении: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(ВПИСАТЬ</w:t>
            </w:r>
            <w:r w:rsidRPr="001466B0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1466B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полное наименование)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B3AF7" w:rsidRPr="005716A0" w:rsidRDefault="003B3AF7" w:rsidP="00CB108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(указывается организационно-правовая форма юридического лица или фамилия, имя, отчество физического лица, которому принадлежит </w:t>
            </w:r>
            <w:proofErr w:type="gramEnd"/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объект защиты; функциональное назначение; полное и сокращенное наименование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(в случае, если имеется),</w:t>
            </w:r>
          </w:p>
        </w:tc>
      </w:tr>
      <w:tr w:rsidR="003B3AF7" w:rsidRPr="005716A0" w:rsidTr="00CB108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(ВПИСАТЬ СОКРАЩЕННОЕ НАИМЕНОВАНИЕ)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Класс функциональной пожарной опасности Ф__.__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F2106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(СМОТРИ СТАТЬЮ 32 Федерального закона от 22 июля 2008 года №123-ФЗ "Технический регламент о требованиях пожарной безопасности")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фирменное наименование объекта защиты)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Основной    государственный   регистрационный   номер   записи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государственной </w:t>
            </w:r>
          </w:p>
        </w:tc>
      </w:tr>
      <w:tr w:rsidR="003B3AF7" w:rsidRPr="00AE1ACA" w:rsidTr="003B3AF7">
        <w:trPr>
          <w:jc w:val="center"/>
        </w:trPr>
        <w:tc>
          <w:tcPr>
            <w:tcW w:w="2056" w:type="pct"/>
            <w:shd w:val="clear" w:color="auto" w:fill="auto"/>
          </w:tcPr>
          <w:p w:rsidR="003B3AF7" w:rsidRPr="005716A0" w:rsidRDefault="003B3AF7" w:rsidP="00CB108A">
            <w:pPr>
              <w:pStyle w:val="a9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регистрации юридического лица</w:t>
            </w:r>
            <w:r w:rsidRPr="005716A0">
              <w:rPr>
                <w:rFonts w:ascii="Times New Roman" w:hAnsi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29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2106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(УКАЗЫЫВАЕМ 13 ЦИФР)</w:t>
            </w:r>
          </w:p>
        </w:tc>
      </w:tr>
      <w:tr w:rsidR="003B3AF7" w:rsidRPr="00AE1ACA" w:rsidTr="00CB108A">
        <w:trPr>
          <w:jc w:val="center"/>
        </w:trPr>
        <w:tc>
          <w:tcPr>
            <w:tcW w:w="2976" w:type="pct"/>
            <w:gridSpan w:val="3"/>
            <w:shd w:val="clear" w:color="auto" w:fill="auto"/>
          </w:tcPr>
          <w:p w:rsidR="003B3AF7" w:rsidRPr="005716A0" w:rsidRDefault="003B3AF7" w:rsidP="00CB108A">
            <w:pPr>
              <w:pStyle w:val="a9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71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</w:t>
            </w:r>
            <w:r w:rsidRPr="005716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2106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(Указываем ИНН физического лица </w:t>
            </w:r>
            <w:r w:rsidRPr="00AF2106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lastRenderedPageBreak/>
              <w:t>12 цифр, ИНН юридического лица 10 цифр)</w:t>
            </w:r>
          </w:p>
        </w:tc>
      </w:tr>
      <w:tr w:rsidR="003B3AF7" w:rsidRPr="00AE1ACA" w:rsidTr="00CB108A">
        <w:trPr>
          <w:jc w:val="center"/>
        </w:trPr>
        <w:tc>
          <w:tcPr>
            <w:tcW w:w="2228" w:type="pct"/>
            <w:gridSpan w:val="2"/>
            <w:shd w:val="clear" w:color="auto" w:fill="auto"/>
          </w:tcPr>
          <w:p w:rsidR="003B3AF7" w:rsidRPr="005716A0" w:rsidRDefault="003B3AF7" w:rsidP="00CB108A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 нахождения объекта защиты</w:t>
            </w:r>
            <w:r w:rsidRPr="005716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7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Российская Федерация, 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Ростов-на-Дону, ул. </w:t>
            </w:r>
            <w:r w:rsidRPr="00012312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(Указываем район города, улицу, номер дома)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(указывается адрес фактического </w:t>
            </w:r>
            <w:proofErr w:type="gramStart"/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места нахождения объекта защиты</w:t>
            </w:r>
            <w:proofErr w:type="gramEnd"/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Почтовый и электронный адреса, телефон, факс юридического (физического) лица, </w:t>
            </w:r>
          </w:p>
        </w:tc>
      </w:tr>
      <w:tr w:rsidR="003B3AF7" w:rsidRPr="00AE1ACA" w:rsidTr="00CB108A">
        <w:trPr>
          <w:jc w:val="center"/>
        </w:trPr>
        <w:tc>
          <w:tcPr>
            <w:tcW w:w="2228" w:type="pct"/>
            <w:gridSpan w:val="2"/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которому</w:t>
            </w:r>
            <w:proofErr w:type="gramEnd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принадлежит объект защиты: </w:t>
            </w:r>
          </w:p>
        </w:tc>
        <w:tc>
          <w:tcPr>
            <w:tcW w:w="2772" w:type="pct"/>
            <w:gridSpan w:val="2"/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344___, Россия, г. Ростов-на-Дону, </w:t>
            </w:r>
          </w:p>
        </w:tc>
      </w:tr>
      <w:tr w:rsidR="003B3AF7" w:rsidRPr="00AE1ACA" w:rsidTr="00CB108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ул.</w:t>
            </w:r>
            <w:proofErr w:type="gramStart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,</w:t>
            </w:r>
            <w:proofErr w:type="gramEnd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телефон:                               , факс:                                              .</w:t>
            </w:r>
            <w:r w:rsidRPr="00AE1ACA">
              <w:t xml:space="preserve"> </w:t>
            </w: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3AF7" w:rsidRPr="004829D1" w:rsidTr="00CB108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5716A0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</w:tc>
      </w:tr>
    </w:tbl>
    <w:p w:rsidR="003B3AF7" w:rsidRPr="004829D1" w:rsidRDefault="003B3AF7" w:rsidP="003B3AF7">
      <w:pPr>
        <w:pStyle w:val="a9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9257"/>
      </w:tblGrid>
      <w:tr w:rsidR="003B3AF7" w:rsidRPr="00AE1ACA" w:rsidTr="00CB108A">
        <w:trPr>
          <w:jc w:val="center"/>
        </w:trPr>
        <w:tc>
          <w:tcPr>
            <w:tcW w:w="1069" w:type="dxa"/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501" w:type="dxa"/>
            <w:vAlign w:val="center"/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раздела</w:t>
            </w:r>
          </w:p>
        </w:tc>
      </w:tr>
      <w:tr w:rsidR="003B3AF7" w:rsidRPr="00AE1ACA" w:rsidTr="00CB108A">
        <w:trPr>
          <w:jc w:val="center"/>
        </w:trPr>
        <w:tc>
          <w:tcPr>
            <w:tcW w:w="1069" w:type="dxa"/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1" w:type="dxa"/>
            <w:tcBorders>
              <w:bottom w:val="single" w:sz="4" w:space="0" w:color="000000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 w:val="restart"/>
            <w:vAlign w:val="center"/>
          </w:tcPr>
          <w:p w:rsidR="003B3AF7" w:rsidRPr="00AE1ACA" w:rsidRDefault="003B3AF7" w:rsidP="003B3AF7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bottom w:val="nil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Оценка пожарного риска, обеспеченного на объекте защиты: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</w:tcBorders>
          </w:tcPr>
          <w:p w:rsidR="003B3AF7" w:rsidRPr="00AE1ACA" w:rsidRDefault="003B3AF7" w:rsidP="00CB108A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Расчет величины пожарного риска в помещениях класса функциональной</w:t>
            </w:r>
            <w:r w:rsidRPr="00AE1A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3AF7" w:rsidRPr="00AE1ACA" w:rsidTr="00CB108A">
        <w:trPr>
          <w:trHeight w:val="136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E1ACA">
              <w:rPr>
                <w:rFonts w:ascii="Times New Roman" w:hAnsi="Times New Roman"/>
                <w:sz w:val="16"/>
                <w:szCs w:val="16"/>
              </w:rPr>
              <w:t>(заполняется, если проводился расчет риска.</w:t>
            </w:r>
            <w:proofErr w:type="gramEnd"/>
            <w:r w:rsidRPr="00AE1ACA">
              <w:rPr>
                <w:rFonts w:ascii="Times New Roman" w:hAnsi="Times New Roman"/>
                <w:sz w:val="16"/>
                <w:szCs w:val="16"/>
              </w:rPr>
              <w:t xml:space="preserve"> В разделе указываются </w:t>
            </w:r>
            <w:proofErr w:type="gramStart"/>
            <w:r w:rsidRPr="00AE1ACA">
              <w:rPr>
                <w:rFonts w:ascii="Times New Roman" w:hAnsi="Times New Roman"/>
                <w:sz w:val="16"/>
                <w:szCs w:val="16"/>
              </w:rPr>
              <w:t>расчетные</w:t>
            </w:r>
            <w:proofErr w:type="gramEnd"/>
            <w:r w:rsidRPr="00AE1ACA">
              <w:rPr>
                <w:rFonts w:ascii="Times New Roman" w:hAnsi="Times New Roman"/>
                <w:sz w:val="16"/>
                <w:szCs w:val="16"/>
              </w:rPr>
              <w:t xml:space="preserve"> значения уровня пожарного риска 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пожарной опасности Ф__.__ не проводился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3AF7" w:rsidRPr="00AE1ACA" w:rsidTr="00CB108A">
        <w:trPr>
          <w:trHeight w:val="158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gramStart"/>
            <w:r w:rsidRPr="00AE1ACA">
              <w:rPr>
                <w:rFonts w:ascii="Times New Roman" w:hAnsi="Times New Roman"/>
                <w:sz w:val="16"/>
                <w:szCs w:val="16"/>
              </w:rPr>
              <w:t>допустимые</w:t>
            </w:r>
            <w:proofErr w:type="gramEnd"/>
            <w:r w:rsidRPr="00AE1ACA">
              <w:rPr>
                <w:rFonts w:ascii="Times New Roman" w:hAnsi="Times New Roman"/>
                <w:sz w:val="16"/>
                <w:szCs w:val="16"/>
              </w:rPr>
              <w:t xml:space="preserve"> значения уровня пожарного риска, а также комплекс выполняемых инженерно-технических 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AF7" w:rsidRPr="00E35ECA" w:rsidRDefault="003B3AF7" w:rsidP="00CB108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(ЕСЛИ РАСЧЕТ ИМЕЕТСЯ </w:t>
            </w:r>
            <w:proofErr w:type="gramStart"/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вписать</w:t>
            </w:r>
            <w:proofErr w:type="gramEnd"/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кто произвел расчет и при каких условиях объект защиты будет соответствовать. Эту информацию смотрим в конце расчета, </w:t>
            </w:r>
            <w:proofErr w:type="gramStart"/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там</w:t>
            </w:r>
            <w:proofErr w:type="gramEnd"/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где написан вывод.)</w:t>
            </w:r>
          </w:p>
        </w:tc>
      </w:tr>
      <w:tr w:rsidR="003B3AF7" w:rsidRPr="00AE1ACA" w:rsidTr="00CB108A">
        <w:trPr>
          <w:trHeight w:val="245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sz w:val="16"/>
                <w:szCs w:val="16"/>
              </w:rPr>
              <w:t>и организационных мероприятий для обеспечения допустимого значения уровня пожарного риска)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 w:val="restart"/>
            <w:vAlign w:val="center"/>
          </w:tcPr>
          <w:p w:rsidR="003B3AF7" w:rsidRPr="00AE1ACA" w:rsidRDefault="003B3AF7" w:rsidP="003B3AF7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Оценка возможного ущерба имуществу третьих лиц от пожара: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Оценка возможного ущерба имуществу третьих лиц от пожара, исходя </w:t>
            </w:r>
            <w:proofErr w:type="gramStart"/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из</w:t>
            </w:r>
            <w:proofErr w:type="gramEnd"/>
          </w:p>
        </w:tc>
      </w:tr>
      <w:tr w:rsidR="003B3AF7" w:rsidRPr="00AE1ACA" w:rsidTr="00CB108A">
        <w:trPr>
          <w:trHeight w:val="122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E1ACA">
              <w:rPr>
                <w:rFonts w:ascii="Times New Roman" w:hAnsi="Times New Roman"/>
                <w:sz w:val="16"/>
                <w:szCs w:val="16"/>
                <w:lang w:eastAsia="ru-RU"/>
              </w:rPr>
              <w:t>(заполняется самостоятельно, исходя из собственной оценки возможного ущерба имуществу третьих лиц от пожара,</w:t>
            </w:r>
            <w:proofErr w:type="gramEnd"/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собственной оценки, составляет 50000 рублей согласно договора №   от</w:t>
            </w:r>
            <w:r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 __.__.20__ г.</w:t>
            </w:r>
            <w:proofErr w:type="gramStart"/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  .</w:t>
            </w:r>
            <w:proofErr w:type="gramEnd"/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3AF7" w:rsidRPr="00AE1ACA" w:rsidTr="00CB108A">
        <w:trPr>
          <w:trHeight w:val="1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3AF7" w:rsidRPr="00AE1ACA" w:rsidRDefault="003B3AF7" w:rsidP="00CB108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sz w:val="16"/>
                <w:szCs w:val="16"/>
                <w:lang w:eastAsia="ru-RU"/>
              </w:rPr>
              <w:t>либо приводятся реквизиты документов страхования</w:t>
            </w:r>
            <w:proofErr w:type="gramStart"/>
            <w:r w:rsidRPr="00AE1A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)</w:t>
            </w:r>
            <w:proofErr w:type="gramEnd"/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AF7" w:rsidRPr="001466B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Договор страхования  ответственности за причинение вреда третьим 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1466B0" w:rsidRDefault="003B3AF7" w:rsidP="00CB108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лицам в результате пожара не заключался. Если заключался, вписать</w:t>
            </w:r>
            <w:r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с кем заключался, на какую сумму…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Align w:val="center"/>
          </w:tcPr>
          <w:p w:rsidR="003B3AF7" w:rsidRPr="00AE1ACA" w:rsidRDefault="003B3AF7" w:rsidP="003B3AF7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012312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Перечень федеральных законов о технических регламентах</w:t>
            </w:r>
          </w:p>
          <w:p w:rsidR="003B3AF7" w:rsidRPr="00012312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и нормативных документов по пожарной безопасности,</w:t>
            </w:r>
          </w:p>
          <w:p w:rsidR="003B3AF7" w:rsidRPr="00012312" w:rsidRDefault="003B3AF7" w:rsidP="00CB108A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выполнение</w:t>
            </w:r>
            <w:proofErr w:type="gramEnd"/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которых должно обеспечиваться на объекте защиты:</w:t>
            </w:r>
          </w:p>
          <w:p w:rsidR="003B3AF7" w:rsidRPr="00012312" w:rsidRDefault="003B3AF7" w:rsidP="00CB108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12312">
              <w:rPr>
                <w:rFonts w:ascii="Times New Roman" w:hAnsi="Times New Roman"/>
                <w:sz w:val="16"/>
                <w:szCs w:val="16"/>
                <w:lang w:eastAsia="ru-RU"/>
              </w:rPr>
              <w:t>(В разделе указывается перечень статей (частей, пунктов) федеральных законов о технических регламентах и нормативных документов по пожарной безопасности для конкретного объекта защиты)</w:t>
            </w:r>
          </w:p>
        </w:tc>
      </w:tr>
      <w:tr w:rsidR="003B3AF7" w:rsidRPr="00AE1ACA" w:rsidTr="00CB108A">
        <w:trPr>
          <w:trHeight w:val="344"/>
          <w:jc w:val="center"/>
        </w:trPr>
        <w:tc>
          <w:tcPr>
            <w:tcW w:w="1069" w:type="dxa"/>
            <w:vAlign w:val="center"/>
          </w:tcPr>
          <w:p w:rsidR="003B3AF7" w:rsidRPr="00AE1ACA" w:rsidRDefault="003B3AF7" w:rsidP="00CB108A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7" w:rsidRPr="004829D1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 декабря 1994 года №69-ФЗ "О пожарной безопасности";</w:t>
            </w:r>
          </w:p>
          <w:p w:rsidR="003B3AF7" w:rsidRPr="004829D1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27.12.2002 N184-ФЗ "О техническом регулировании";</w:t>
            </w:r>
          </w:p>
          <w:p w:rsidR="003B3AF7" w:rsidRPr="004829D1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22 июля 2008 года  №123-ФЗ "Технический регламент о требованиях пожарной безопасности";</w:t>
            </w:r>
          </w:p>
          <w:p w:rsidR="003B3AF7" w:rsidRPr="004829D1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Федерации от 25 апреля 2012 г. 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№390 «О противопожарном режиме»;</w:t>
            </w:r>
          </w:p>
          <w:p w:rsidR="003B3AF7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Правительства РФ от 31.03.2009 N 272 "О порядке проведения расчетов по оценке пожарного риска";</w:t>
            </w:r>
          </w:p>
          <w:p w:rsidR="003B3AF7" w:rsidRPr="00CB27AE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27AE">
              <w:rPr>
                <w:rFonts w:ascii="Times New Roman" w:hAnsi="Times New Roman"/>
                <w:sz w:val="26"/>
                <w:szCs w:val="26"/>
                <w:lang w:eastAsia="ru-RU"/>
              </w:rPr>
              <w:t>Приказ МЧС РФ от 12.12.2007 N 645 "Об утверждении Норм пожарной безопасности "Обучение мерам пожарной безопасности работников организаций" (Зарегистрировано в Минюсте РФ 21.01.2008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27AE">
              <w:rPr>
                <w:rFonts w:ascii="Times New Roman" w:hAnsi="Times New Roman"/>
                <w:sz w:val="26"/>
                <w:szCs w:val="26"/>
                <w:lang w:eastAsia="ru-RU"/>
              </w:rPr>
              <w:t>N 10938);</w:t>
            </w:r>
          </w:p>
          <w:p w:rsidR="003B3AF7" w:rsidRPr="004829D1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Приказ МЧС РФ от 30.06.2009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N 382 "Об утверждении </w:t>
            </w:r>
            <w:proofErr w:type="gramStart"/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методики определения расчетных величин пожарного риска</w:t>
            </w:r>
            <w:proofErr w:type="gramEnd"/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зданиях, сооружениях и строениях различных классов функциональной пожарной опасности";</w:t>
            </w:r>
          </w:p>
          <w:p w:rsidR="003B3AF7" w:rsidRPr="004829D1" w:rsidRDefault="003B3AF7" w:rsidP="003B3AF7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Приказ МЧС России от 24 февраля 2009 г. № 91</w:t>
            </w:r>
            <w:r w:rsidRPr="004829D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Об утверждении формы и порядка регистрации декларации пожарной безопасности»;</w:t>
            </w:r>
          </w:p>
          <w:p w:rsidR="003B3AF7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466B0">
              <w:rPr>
                <w:rFonts w:ascii="Times New Roman" w:hAnsi="Times New Roman"/>
                <w:sz w:val="26"/>
                <w:szCs w:val="26"/>
                <w:lang w:eastAsia="ru-RU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30.11.2016 № 644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 (Зарегистрирован в Мин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юсте России 13.01.2017 № 45228)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3B3AF7" w:rsidRPr="00847D42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  <w:proofErr w:type="spellStart"/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Росстандарта</w:t>
            </w:r>
            <w:proofErr w:type="spellEnd"/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16.04.2014 N 474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требованиях пожарной безопасности";</w:t>
            </w:r>
          </w:p>
          <w:p w:rsidR="003B3AF7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1.13130.2009. Свод правил. Системы противопожарной защиты. Эвакуационные пути и выходы" (утв. Приказом МЧС России от 25.03.2009 N 171);</w:t>
            </w:r>
          </w:p>
          <w:p w:rsidR="003B3AF7" w:rsidRPr="00107F46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"СП 2.13130.2012. Свод правил. Системы противопожарной защиты. Обеспечение огнестойкости объектов защиты" (утв. Приказом МЧС России от 21.11.2012 N 693);</w:t>
            </w:r>
          </w:p>
          <w:p w:rsidR="003B3AF7" w:rsidRPr="004829D1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3.13130.2009. Свод правил. Системы противопожарной защиты. Система оповещения и управления эвакуацией людей при пожаре. Требования пожарной безопасности" (утв. Приказом МЧС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оссии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25.03.2009 N 173);</w:t>
            </w:r>
          </w:p>
          <w:p w:rsidR="003B3AF7" w:rsidRPr="00107F46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(утв. Приказом МЧС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оссии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24.04.2013 N 288);</w:t>
            </w:r>
          </w:p>
          <w:p w:rsidR="003B3AF7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3A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"СП 5.13130.2009. Свод правил. Системы противопожарной защиты. Установки пожарной сигнализации и пожаротушения автоматические.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Нормы и правила проектирования" </w:t>
            </w:r>
            <w:r w:rsidRPr="00683ADB">
              <w:rPr>
                <w:rFonts w:ascii="Times New Roman" w:hAnsi="Times New Roman"/>
                <w:sz w:val="26"/>
                <w:szCs w:val="26"/>
                <w:lang w:eastAsia="ru-RU"/>
              </w:rPr>
              <w:t>(утв. Приказом МЧС России от 25.03.2009 N 175);</w:t>
            </w:r>
          </w:p>
          <w:p w:rsidR="003B3AF7" w:rsidRPr="00683ADB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3ADB">
              <w:rPr>
                <w:rFonts w:ascii="Times New Roman" w:hAnsi="Times New Roman"/>
                <w:sz w:val="26"/>
                <w:szCs w:val="26"/>
                <w:lang w:eastAsia="ru-RU"/>
              </w:rPr>
              <w:t>"СП 6.13130.2013. Свод правил. Системы противопожарной защиты. Электрооборудование. Требования пожарной безопасности" (утв. Приказом МЧС России от 21.02.2013 N 115);</w:t>
            </w:r>
          </w:p>
          <w:p w:rsidR="003B3AF7" w:rsidRPr="004829D1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"СП 7.13130.2013. Свод правил. Отопление, вентиляция и кондиционирование. Требования пожарной безопасности" (утв. и </w:t>
            </w:r>
            <w:proofErr w:type="gramStart"/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введен</w:t>
            </w:r>
            <w:proofErr w:type="gramEnd"/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действие Приказом МЧС России от 21.02.2013 N 116);</w:t>
            </w:r>
          </w:p>
          <w:p w:rsidR="003B3AF7" w:rsidRPr="004829D1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8.13130.2009. Свод правил. Системы противопожарной защиты. Источники наружного противопожарного водоснабжения. Требования пожарной безопасности" (утв. Приказом МЧС России от 25.03.2009 N 178);</w:t>
            </w:r>
          </w:p>
          <w:p w:rsidR="003B3AF7" w:rsidRPr="004829D1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9.13130.2009. Свод правил. Техника пожарная. Огнетушители. Требования к эксплуатации" (утв. Приказом МЧС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оссии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25.03.2009 N 179);</w:t>
            </w:r>
          </w:p>
          <w:p w:rsidR="003B3AF7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"СП 10.13130.2009. Свод правил. Системы противопожарной защиты. Внутренний противопожарный водопровод. Требования пожарной безопасности" (утв. Приказ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ом МЧС России от 25.03.2009 N 180)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B3AF7" w:rsidRDefault="003B3AF7" w:rsidP="003B3AF7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12.13130.2009.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"Свод правил. Определение категорий помещений, зданий и наружных установок по взрывопожарной и пожарной опасности"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(утв. Приказом МЧС России 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25.03.2009 N 182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).</w:t>
            </w:r>
          </w:p>
          <w:p w:rsidR="003B3AF7" w:rsidRDefault="003B3AF7" w:rsidP="00CB108A">
            <w:pPr>
              <w:pStyle w:val="aa"/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B3AF7" w:rsidRPr="00683ADB" w:rsidRDefault="003B3AF7" w:rsidP="00CB108A">
            <w:pPr>
              <w:pStyle w:val="aa"/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D42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Обратите внимания, что для каждого здания нормативных документов по пожарной безопасности может быть больше, меньше и т.д. Все зависит от класса функциональной пожарной опасности.</w:t>
            </w:r>
          </w:p>
        </w:tc>
      </w:tr>
    </w:tbl>
    <w:p w:rsidR="003B3AF7" w:rsidRDefault="003B3AF7" w:rsidP="003B3AF7">
      <w:pPr>
        <w:pStyle w:val="a9"/>
      </w:pPr>
    </w:p>
    <w:p w:rsidR="003B3AF7" w:rsidRPr="00AE1ACA" w:rsidRDefault="003B3AF7" w:rsidP="003B3AF7">
      <w:pPr>
        <w:pStyle w:val="a9"/>
        <w:jc w:val="center"/>
        <w:rPr>
          <w:rFonts w:ascii="Times New Roman" w:hAnsi="Times New Roman"/>
          <w:sz w:val="16"/>
          <w:szCs w:val="16"/>
        </w:rPr>
      </w:pP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5"/>
        <w:gridCol w:w="2693"/>
        <w:gridCol w:w="2093"/>
      </w:tblGrid>
      <w:tr w:rsidR="003B3AF7" w:rsidRPr="00AE1ACA" w:rsidTr="00CB108A">
        <w:tc>
          <w:tcPr>
            <w:tcW w:w="3996" w:type="pct"/>
            <w:gridSpan w:val="2"/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716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Настоящую декларацию на </w:t>
            </w:r>
            <w:r w:rsidRPr="000123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___</w:t>
            </w:r>
            <w:r w:rsidRPr="005716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стр. разработал:</w:t>
            </w:r>
          </w:p>
        </w:tc>
        <w:tc>
          <w:tcPr>
            <w:tcW w:w="1004" w:type="pct"/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3AF7" w:rsidRPr="00AE1ACA" w:rsidTr="00CB108A">
        <w:tc>
          <w:tcPr>
            <w:tcW w:w="3996" w:type="pct"/>
            <w:gridSpan w:val="2"/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3AF7" w:rsidRPr="00AE1ACA" w:rsidTr="00CB108A">
        <w:tc>
          <w:tcPr>
            <w:tcW w:w="2704" w:type="pct"/>
            <w:shd w:val="clear" w:color="auto" w:fill="auto"/>
          </w:tcPr>
          <w:p w:rsidR="003B3AF7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организации</w:t>
            </w:r>
          </w:p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(Указываем должность Ф.И.О. руководителя организации.</w:t>
            </w:r>
            <w:proofErr w:type="gramEnd"/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gramStart"/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Иные лица, кроме руководителя</w:t>
            </w:r>
            <w: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,</w:t>
            </w:r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не имеют право подписывать декларацию)</w:t>
            </w:r>
            <w:proofErr w:type="gramEnd"/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3AF7" w:rsidRPr="00AE1ACA" w:rsidTr="00CB108A">
        <w:tc>
          <w:tcPr>
            <w:tcW w:w="2704" w:type="pct"/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16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04" w:type="pct"/>
            <w:shd w:val="clear" w:color="auto" w:fill="auto"/>
          </w:tcPr>
          <w:p w:rsidR="003B3AF7" w:rsidRPr="005716A0" w:rsidRDefault="003B3AF7" w:rsidP="00CB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AF7" w:rsidRPr="00AE1ACA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«__» ___________________ 20__г.</w:t>
      </w:r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3AF7" w:rsidRPr="00432D88" w:rsidRDefault="003B3AF7" w:rsidP="003B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1A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М.П.</w:t>
      </w:r>
    </w:p>
    <w:p w:rsidR="003B3AF7" w:rsidRDefault="003B3AF7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B3AF7" w:rsidRDefault="003B3AF7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Уважаемые посетители сайта 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www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>.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gpnrostov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>.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ru</w:t>
      </w:r>
    </w:p>
    <w:p w:rsidR="00200B68" w:rsidRDefault="00200B68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Следите за изменениями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дополнениями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я буду вносить по мере изменения требований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пожарной безопасности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читайте 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составленную мною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выборку из нормативно-правовых актов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содержащих тр</w:t>
      </w:r>
      <w:r w:rsidR="004E5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ебования пожарной безопасности. 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20CD0"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пояснения</w:t>
      </w:r>
      <w:r w:rsidR="00620CD0"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выделенные желтым и / или зеленым цветом, по мере заполнения декларации удаляйте. Лишние образующиеся строки также необходимо удалять. Разметку страниц, шрифт, подстроки удалять (изменять) категорически запрещается.</w:t>
      </w:r>
    </w:p>
    <w:p w:rsidR="00620CD0" w:rsidRPr="00200B68" w:rsidRDefault="00620CD0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 необходимости,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стесняйтесь и </w:t>
      </w: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задавайте свои вопросы мне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моем личном сайте </w:t>
      </w: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www.gpnrostov.ru</w:t>
      </w:r>
    </w:p>
    <w:p w:rsidR="00620CD0" w:rsidRDefault="00620CD0" w:rsidP="00C8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20CD0" w:rsidSect="003B3AF7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E6" w:rsidRDefault="00C448E6" w:rsidP="00200B68">
      <w:pPr>
        <w:spacing w:after="0" w:line="240" w:lineRule="auto"/>
      </w:pPr>
      <w:r>
        <w:separator/>
      </w:r>
    </w:p>
  </w:endnote>
  <w:endnote w:type="continuationSeparator" w:id="0">
    <w:p w:rsidR="00C448E6" w:rsidRDefault="00C448E6" w:rsidP="002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E6" w:rsidRDefault="00C448E6" w:rsidP="00200B68">
      <w:pPr>
        <w:spacing w:after="0" w:line="240" w:lineRule="auto"/>
      </w:pPr>
      <w:r>
        <w:separator/>
      </w:r>
    </w:p>
  </w:footnote>
  <w:footnote w:type="continuationSeparator" w:id="0">
    <w:p w:rsidR="00C448E6" w:rsidRDefault="00C448E6" w:rsidP="0020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68" w:rsidRPr="00200B68" w:rsidRDefault="00200B68" w:rsidP="00200B68">
    <w:pPr>
      <w:pStyle w:val="a9"/>
      <w:jc w:val="right"/>
      <w:rPr>
        <w:rFonts w:ascii="Times New Roman" w:hAnsi="Times New Roman"/>
        <w:b/>
        <w:color w:val="808080"/>
        <w:sz w:val="20"/>
        <w:szCs w:val="20"/>
        <w:lang w:eastAsia="ru-RU"/>
      </w:rPr>
    </w:pP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 xml:space="preserve">Автор статьи </w:t>
    </w:r>
  </w:p>
  <w:p w:rsidR="00200B68" w:rsidRPr="00200B68" w:rsidRDefault="00200B68" w:rsidP="00200B68">
    <w:pPr>
      <w:pStyle w:val="a9"/>
      <w:jc w:val="right"/>
      <w:rPr>
        <w:rFonts w:ascii="Times New Roman" w:hAnsi="Times New Roman"/>
        <w:b/>
        <w:color w:val="808080"/>
        <w:sz w:val="20"/>
        <w:szCs w:val="20"/>
        <w:lang w:eastAsia="ru-RU"/>
      </w:rPr>
    </w:pP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Бойко Е.В.</w:t>
    </w:r>
  </w:p>
  <w:p w:rsidR="00200B68" w:rsidRPr="00200B68" w:rsidRDefault="00200B68" w:rsidP="00200B68">
    <w:pPr>
      <w:pStyle w:val="ab"/>
      <w:spacing w:line="240" w:lineRule="auto"/>
      <w:jc w:val="right"/>
      <w:rPr>
        <w:sz w:val="20"/>
        <w:szCs w:val="20"/>
      </w:rPr>
    </w:pP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 xml:space="preserve">Сайт: </w:t>
    </w:r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www</w:t>
    </w: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.</w:t>
    </w:r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gpnrostov</w:t>
    </w: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.</w:t>
    </w:r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35"/>
    <w:multiLevelType w:val="hybridMultilevel"/>
    <w:tmpl w:val="32FEC4B8"/>
    <w:lvl w:ilvl="0" w:tplc="F7F0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2771"/>
    <w:multiLevelType w:val="hybridMultilevel"/>
    <w:tmpl w:val="E29A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AD9"/>
    <w:multiLevelType w:val="hybridMultilevel"/>
    <w:tmpl w:val="A5A0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338B"/>
    <w:multiLevelType w:val="hybridMultilevel"/>
    <w:tmpl w:val="ABD2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68C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2D0"/>
    <w:multiLevelType w:val="hybridMultilevel"/>
    <w:tmpl w:val="2814DCA6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99765C"/>
    <w:multiLevelType w:val="hybridMultilevel"/>
    <w:tmpl w:val="02E6A16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7E5BF1"/>
    <w:multiLevelType w:val="hybridMultilevel"/>
    <w:tmpl w:val="CAB0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5EC"/>
    <w:multiLevelType w:val="hybridMultilevel"/>
    <w:tmpl w:val="4350E2FA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A47A00"/>
    <w:multiLevelType w:val="hybridMultilevel"/>
    <w:tmpl w:val="289EA6B2"/>
    <w:lvl w:ilvl="0" w:tplc="A07416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147E"/>
    <w:multiLevelType w:val="hybridMultilevel"/>
    <w:tmpl w:val="D1B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3685A"/>
    <w:multiLevelType w:val="hybridMultilevel"/>
    <w:tmpl w:val="B7EC6A6C"/>
    <w:lvl w:ilvl="0" w:tplc="33189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8AD"/>
    <w:multiLevelType w:val="hybridMultilevel"/>
    <w:tmpl w:val="ED14D1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3246"/>
    <w:multiLevelType w:val="hybridMultilevel"/>
    <w:tmpl w:val="A6B6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8C19D8"/>
    <w:multiLevelType w:val="hybridMultilevel"/>
    <w:tmpl w:val="C1162328"/>
    <w:lvl w:ilvl="0" w:tplc="1A92C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1CDE"/>
    <w:multiLevelType w:val="hybridMultilevel"/>
    <w:tmpl w:val="8564EA3C"/>
    <w:lvl w:ilvl="0" w:tplc="8A8C9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05FFC"/>
    <w:multiLevelType w:val="multilevel"/>
    <w:tmpl w:val="D2E667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17B4010"/>
    <w:multiLevelType w:val="hybridMultilevel"/>
    <w:tmpl w:val="D75217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41C"/>
    <w:multiLevelType w:val="hybridMultilevel"/>
    <w:tmpl w:val="054ECACC"/>
    <w:lvl w:ilvl="0" w:tplc="9F3AF4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D6903"/>
    <w:multiLevelType w:val="hybridMultilevel"/>
    <w:tmpl w:val="DF0ED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E36D2"/>
    <w:multiLevelType w:val="hybridMultilevel"/>
    <w:tmpl w:val="0F101708"/>
    <w:lvl w:ilvl="0" w:tplc="2C948C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5040A"/>
    <w:multiLevelType w:val="hybridMultilevel"/>
    <w:tmpl w:val="6916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D57C1"/>
    <w:multiLevelType w:val="hybridMultilevel"/>
    <w:tmpl w:val="A7B0A0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A118F"/>
    <w:multiLevelType w:val="hybridMultilevel"/>
    <w:tmpl w:val="29E0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61337"/>
    <w:multiLevelType w:val="hybridMultilevel"/>
    <w:tmpl w:val="B5BC97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E5BC0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7A3"/>
    <w:multiLevelType w:val="hybridMultilevel"/>
    <w:tmpl w:val="CAB0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80AAE"/>
    <w:multiLevelType w:val="hybridMultilevel"/>
    <w:tmpl w:val="EDC0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4"/>
  </w:num>
  <w:num w:numId="5">
    <w:abstractNumId w:val="23"/>
  </w:num>
  <w:num w:numId="6">
    <w:abstractNumId w:val="27"/>
  </w:num>
  <w:num w:numId="7">
    <w:abstractNumId w:val="6"/>
  </w:num>
  <w:num w:numId="8">
    <w:abstractNumId w:val="5"/>
  </w:num>
  <w:num w:numId="9">
    <w:abstractNumId w:val="8"/>
  </w:num>
  <w:num w:numId="10">
    <w:abstractNumId w:val="24"/>
  </w:num>
  <w:num w:numId="11">
    <w:abstractNumId w:val="13"/>
  </w:num>
  <w:num w:numId="12">
    <w:abstractNumId w:val="10"/>
  </w:num>
  <w:num w:numId="13">
    <w:abstractNumId w:val="2"/>
  </w:num>
  <w:num w:numId="14">
    <w:abstractNumId w:val="19"/>
  </w:num>
  <w:num w:numId="15">
    <w:abstractNumId w:val="16"/>
  </w:num>
  <w:num w:numId="16">
    <w:abstractNumId w:val="17"/>
  </w:num>
  <w:num w:numId="17">
    <w:abstractNumId w:val="3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12"/>
  </w:num>
  <w:num w:numId="24">
    <w:abstractNumId w:val="26"/>
  </w:num>
  <w:num w:numId="25">
    <w:abstractNumId w:val="7"/>
  </w:num>
  <w:num w:numId="26">
    <w:abstractNumId w:val="1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F"/>
    <w:rsid w:val="000008FD"/>
    <w:rsid w:val="00012312"/>
    <w:rsid w:val="000127CB"/>
    <w:rsid w:val="0003169A"/>
    <w:rsid w:val="00081615"/>
    <w:rsid w:val="000E3217"/>
    <w:rsid w:val="000F7310"/>
    <w:rsid w:val="0010079A"/>
    <w:rsid w:val="00102C5D"/>
    <w:rsid w:val="001065E4"/>
    <w:rsid w:val="00126174"/>
    <w:rsid w:val="001543B9"/>
    <w:rsid w:val="00157633"/>
    <w:rsid w:val="001659E7"/>
    <w:rsid w:val="001C2CEC"/>
    <w:rsid w:val="001E2B5C"/>
    <w:rsid w:val="00200B68"/>
    <w:rsid w:val="00251B91"/>
    <w:rsid w:val="002D22F7"/>
    <w:rsid w:val="002F6D02"/>
    <w:rsid w:val="002F7C1C"/>
    <w:rsid w:val="0031695C"/>
    <w:rsid w:val="003257B7"/>
    <w:rsid w:val="003357C8"/>
    <w:rsid w:val="00345D91"/>
    <w:rsid w:val="003564DA"/>
    <w:rsid w:val="00373017"/>
    <w:rsid w:val="00376991"/>
    <w:rsid w:val="003B2C6C"/>
    <w:rsid w:val="003B3AF7"/>
    <w:rsid w:val="004153BE"/>
    <w:rsid w:val="00422964"/>
    <w:rsid w:val="00432D88"/>
    <w:rsid w:val="004342F4"/>
    <w:rsid w:val="004737D1"/>
    <w:rsid w:val="004829D1"/>
    <w:rsid w:val="0049656E"/>
    <w:rsid w:val="004E1BE1"/>
    <w:rsid w:val="004E5538"/>
    <w:rsid w:val="005143A3"/>
    <w:rsid w:val="00517DEE"/>
    <w:rsid w:val="005330E0"/>
    <w:rsid w:val="00552041"/>
    <w:rsid w:val="00554882"/>
    <w:rsid w:val="005571A7"/>
    <w:rsid w:val="005716A0"/>
    <w:rsid w:val="00585795"/>
    <w:rsid w:val="005D74C4"/>
    <w:rsid w:val="005F3EBB"/>
    <w:rsid w:val="005F4A24"/>
    <w:rsid w:val="00611FB7"/>
    <w:rsid w:val="00620CD0"/>
    <w:rsid w:val="006239AE"/>
    <w:rsid w:val="00660553"/>
    <w:rsid w:val="0066447F"/>
    <w:rsid w:val="006733A0"/>
    <w:rsid w:val="00683ADB"/>
    <w:rsid w:val="006A1A8F"/>
    <w:rsid w:val="006A587B"/>
    <w:rsid w:val="006C3ADC"/>
    <w:rsid w:val="006E10AF"/>
    <w:rsid w:val="006F5412"/>
    <w:rsid w:val="00737EDC"/>
    <w:rsid w:val="00787D2F"/>
    <w:rsid w:val="00796786"/>
    <w:rsid w:val="007B3081"/>
    <w:rsid w:val="007B3991"/>
    <w:rsid w:val="00802323"/>
    <w:rsid w:val="00845E44"/>
    <w:rsid w:val="00847342"/>
    <w:rsid w:val="008553E2"/>
    <w:rsid w:val="00861FEC"/>
    <w:rsid w:val="0086756E"/>
    <w:rsid w:val="0088482A"/>
    <w:rsid w:val="008B430C"/>
    <w:rsid w:val="008B59B1"/>
    <w:rsid w:val="008F0314"/>
    <w:rsid w:val="00927076"/>
    <w:rsid w:val="009367DA"/>
    <w:rsid w:val="009560E1"/>
    <w:rsid w:val="00985DD3"/>
    <w:rsid w:val="00990C2B"/>
    <w:rsid w:val="009B6B05"/>
    <w:rsid w:val="009C5922"/>
    <w:rsid w:val="00AB2775"/>
    <w:rsid w:val="00AE1ACA"/>
    <w:rsid w:val="00AE54CD"/>
    <w:rsid w:val="00AF2106"/>
    <w:rsid w:val="00AF7BBA"/>
    <w:rsid w:val="00B02613"/>
    <w:rsid w:val="00B04C8D"/>
    <w:rsid w:val="00B11C61"/>
    <w:rsid w:val="00B3372B"/>
    <w:rsid w:val="00B650B2"/>
    <w:rsid w:val="00B652F6"/>
    <w:rsid w:val="00B8416E"/>
    <w:rsid w:val="00B90D2B"/>
    <w:rsid w:val="00BB2E53"/>
    <w:rsid w:val="00BE5304"/>
    <w:rsid w:val="00C06219"/>
    <w:rsid w:val="00C13FEA"/>
    <w:rsid w:val="00C16C8A"/>
    <w:rsid w:val="00C262E4"/>
    <w:rsid w:val="00C36519"/>
    <w:rsid w:val="00C41BC6"/>
    <w:rsid w:val="00C448E6"/>
    <w:rsid w:val="00C67C15"/>
    <w:rsid w:val="00C8560B"/>
    <w:rsid w:val="00C86814"/>
    <w:rsid w:val="00C93C45"/>
    <w:rsid w:val="00CA14FD"/>
    <w:rsid w:val="00CE3FD4"/>
    <w:rsid w:val="00CE5C2D"/>
    <w:rsid w:val="00D1318D"/>
    <w:rsid w:val="00D82EAF"/>
    <w:rsid w:val="00D93906"/>
    <w:rsid w:val="00DB2699"/>
    <w:rsid w:val="00DC6A51"/>
    <w:rsid w:val="00DD2F50"/>
    <w:rsid w:val="00DF2C80"/>
    <w:rsid w:val="00E15E9E"/>
    <w:rsid w:val="00E26972"/>
    <w:rsid w:val="00E35ECA"/>
    <w:rsid w:val="00E73791"/>
    <w:rsid w:val="00E74BC2"/>
    <w:rsid w:val="00E909DF"/>
    <w:rsid w:val="00EC0B63"/>
    <w:rsid w:val="00EC55AE"/>
    <w:rsid w:val="00EC7BAC"/>
    <w:rsid w:val="00F63D3C"/>
    <w:rsid w:val="00F969D5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85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B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B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85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B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pnros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AE73-E713-4F4C-965D-744B42E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Зарегистрирована:</vt:lpstr>
    </vt:vector>
  </TitlesOfParts>
  <Company>Microsoft</Company>
  <LinksUpToDate>false</LinksUpToDate>
  <CharactersWithSpaces>20686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http://www.gpnrostov.ru/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Зарегистрирована:</dc:title>
  <dc:creator>Владимир</dc:creator>
  <cp:lastModifiedBy>Admin</cp:lastModifiedBy>
  <cp:revision>2</cp:revision>
  <cp:lastPrinted>2013-01-28T09:30:00Z</cp:lastPrinted>
  <dcterms:created xsi:type="dcterms:W3CDTF">2019-02-13T14:31:00Z</dcterms:created>
  <dcterms:modified xsi:type="dcterms:W3CDTF">2019-02-13T14:31:00Z</dcterms:modified>
</cp:coreProperties>
</file>